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596" w14:textId="77777777" w:rsidR="0029709F" w:rsidRDefault="005B7727" w:rsidP="00334D3E">
      <w:pPr>
        <w:jc w:val="center"/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</w:pPr>
      <w:r w:rsidRPr="00591697"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  <w:t xml:space="preserve">PRISE EN CHARGE REEDUCATIVE DES </w:t>
      </w:r>
      <w:r w:rsidR="00FC0977" w:rsidRPr="00591697"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  <w:t>DYSFONCTIONS SEXUELLES FEMININES</w:t>
      </w:r>
    </w:p>
    <w:p w14:paraId="43891651" w14:textId="3B98C4FA" w:rsidR="008F1359" w:rsidRPr="0029709F" w:rsidRDefault="0029709F" w:rsidP="0029709F">
      <w:pPr>
        <w:ind w:left="720"/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:lang w:val="fr-BE"/>
        </w:rPr>
      </w:pPr>
      <w:r w:rsidRPr="0029709F">
        <w:rPr>
          <w:rFonts w:ascii="Century Gothic" w:hAnsi="Century Gothic"/>
          <w:b/>
          <w:color w:val="2E74B5" w:themeColor="accent1" w:themeShade="BF"/>
          <w:sz w:val="32"/>
          <w:szCs w:val="32"/>
          <w:lang w:val="fr-BE"/>
        </w:rPr>
        <w:t>-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:lang w:val="fr-BE"/>
        </w:rPr>
        <w:t xml:space="preserve"> </w:t>
      </w:r>
      <w:r w:rsidRPr="0029709F">
        <w:rPr>
          <w:rFonts w:ascii="Century Gothic" w:hAnsi="Century Gothic"/>
          <w:b/>
          <w:color w:val="2E74B5" w:themeColor="accent1" w:themeShade="BF"/>
          <w:sz w:val="32"/>
          <w:szCs w:val="32"/>
          <w:lang w:val="fr-BE"/>
        </w:rPr>
        <w:t xml:space="preserve">En </w:t>
      </w:r>
      <w:proofErr w:type="spellStart"/>
      <w:r w:rsidRPr="0029709F">
        <w:rPr>
          <w:rFonts w:ascii="Century Gothic" w:hAnsi="Century Gothic"/>
          <w:b/>
          <w:color w:val="2E74B5" w:themeColor="accent1" w:themeShade="BF"/>
          <w:sz w:val="32"/>
          <w:szCs w:val="32"/>
          <w:lang w:val="fr-BE"/>
        </w:rPr>
        <w:t>visio</w:t>
      </w:r>
      <w:proofErr w:type="spellEnd"/>
      <w:r w:rsidRPr="0029709F">
        <w:rPr>
          <w:rFonts w:ascii="Century Gothic" w:hAnsi="Century Gothic"/>
          <w:b/>
          <w:color w:val="2E74B5" w:themeColor="accent1" w:themeShade="BF"/>
          <w:sz w:val="32"/>
          <w:szCs w:val="32"/>
          <w:lang w:val="fr-BE"/>
        </w:rPr>
        <w:t xml:space="preserve"> via Zoom -</w:t>
      </w:r>
    </w:p>
    <w:p w14:paraId="595CB475" w14:textId="77777777" w:rsidR="00BC4A59" w:rsidRDefault="00BC4A59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</w:p>
    <w:p w14:paraId="7D2A09B9" w14:textId="0C5C39BC" w:rsidR="00FC0977" w:rsidRPr="008F1359" w:rsidRDefault="000E662B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>Samedi 6 novembre</w:t>
      </w:r>
      <w:r w:rsidR="00C929A4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 xml:space="preserve"> 2021</w:t>
      </w:r>
      <w:r w:rsidR="00FC0977" w:rsidRPr="008F1359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 xml:space="preserve"> </w:t>
      </w:r>
      <w:r w:rsidR="00FC0977" w:rsidRPr="00FC0977"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>:</w:t>
      </w:r>
      <w:r w:rsidR="00C542EC" w:rsidRPr="00C542EC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  <w:t xml:space="preserve">  </w:t>
      </w:r>
      <w:r w:rsidR="00C929A4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  <w:t>Alexandrine Close</w:t>
      </w:r>
    </w:p>
    <w:p w14:paraId="31A6D530" w14:textId="77777777" w:rsidR="00FC0977" w:rsidRPr="00FC0977" w:rsidRDefault="00FC0977" w:rsidP="00FC0977">
      <w:pPr>
        <w:spacing w:before="0" w:after="0" w:line="240" w:lineRule="auto"/>
        <w:textAlignment w:val="baseline"/>
        <w:rPr>
          <w:rFonts w:ascii="inherit" w:eastAsia="Times New Roman" w:hAnsi="inherit" w:cs="Times New Roman"/>
          <w:szCs w:val="24"/>
          <w:lang w:eastAsia="fr-FR"/>
        </w:rPr>
      </w:pPr>
    </w:p>
    <w:p w14:paraId="5483C85D" w14:textId="77777777" w:rsidR="00BC4A59" w:rsidRDefault="00BC4A59" w:rsidP="00BC4A59">
      <w:pPr>
        <w:spacing w:before="0" w:beforeAutospacing="1" w:after="0" w:afterAutospacing="1" w:line="240" w:lineRule="auto"/>
        <w:ind w:left="426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</w:pPr>
    </w:p>
    <w:p w14:paraId="684D6DEC" w14:textId="77777777" w:rsidR="00FC0977" w:rsidRPr="00BC4A59" w:rsidRDefault="00FC0977" w:rsidP="00BC4A59">
      <w:pPr>
        <w:spacing w:before="0" w:beforeAutospacing="1" w:after="0" w:afterAutospacing="1" w:line="240" w:lineRule="auto"/>
        <w:ind w:left="426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</w:pPr>
      <w:r w:rsidRPr="00BC4A59"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  <w:t>Dysfonctions sexuelles féminines :</w:t>
      </w:r>
    </w:p>
    <w:p w14:paraId="7D7EEE9E" w14:textId="4AD03AC1" w:rsidR="00FC0977" w:rsidRPr="00FC0977" w:rsidRDefault="00FC0977" w:rsidP="00BC4A59">
      <w:pPr>
        <w:numPr>
          <w:ilvl w:val="1"/>
          <w:numId w:val="7"/>
        </w:numPr>
        <w:spacing w:before="0" w:beforeAutospacing="1" w:after="0" w:afterAutospacing="1" w:line="36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Physio</w:t>
      </w:r>
      <w:r w:rsidR="00600F79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patho</w:t>
      </w: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logie sexuelle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féminine</w:t>
      </w:r>
    </w:p>
    <w:p w14:paraId="09951538" w14:textId="77777777" w:rsidR="00FC0977" w:rsidRPr="00FC0977" w:rsidRDefault="00FC0977" w:rsidP="00BC4A59">
      <w:pPr>
        <w:numPr>
          <w:ilvl w:val="1"/>
          <w:numId w:val="7"/>
        </w:numPr>
        <w:spacing w:before="0" w:beforeAutospacing="1" w:after="0" w:afterAutospacing="1" w:line="360" w:lineRule="auto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Ana</w:t>
      </w:r>
      <w:r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mnèse troubles sexuels féminins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375BB586" w14:textId="77777777" w:rsidR="00FC0977" w:rsidRPr="00FC0977" w:rsidRDefault="008F1359" w:rsidP="00BC4A59">
      <w:pPr>
        <w:numPr>
          <w:ilvl w:val="2"/>
          <w:numId w:val="7"/>
        </w:numPr>
        <w:spacing w:before="0" w:beforeAutospacing="1" w:after="0" w:afterAutospacing="1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V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aginisme</w:t>
      </w:r>
    </w:p>
    <w:p w14:paraId="544FA7A6" w14:textId="77777777" w:rsidR="00FC0977" w:rsidRPr="00FC0977" w:rsidRDefault="008F1359" w:rsidP="00BC4A59">
      <w:pPr>
        <w:numPr>
          <w:ilvl w:val="2"/>
          <w:numId w:val="7"/>
        </w:numPr>
        <w:spacing w:before="0" w:beforeAutospacing="1" w:after="0" w:afterAutospacing="1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proofErr w:type="spellStart"/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V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estibulodynie</w:t>
      </w:r>
      <w:proofErr w:type="spellEnd"/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provoquée, </w:t>
      </w:r>
      <w:proofErr w:type="spellStart"/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clitorodynie</w:t>
      </w:r>
      <w:proofErr w:type="spellEnd"/>
    </w:p>
    <w:p w14:paraId="0EDF8092" w14:textId="0FCE5B89" w:rsidR="00FC0977" w:rsidRPr="00591697" w:rsidRDefault="008F1359" w:rsidP="00BC4A59">
      <w:pPr>
        <w:numPr>
          <w:ilvl w:val="2"/>
          <w:numId w:val="7"/>
        </w:numPr>
        <w:spacing w:before="0" w:beforeAutospacing="1" w:after="0" w:afterAutospacing="1"/>
        <w:ind w:left="1560" w:right="-432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D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yspareunies</w:t>
      </w:r>
      <w:r w:rsidR="00C929A4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(</w:t>
      </w:r>
      <w:proofErr w:type="spellStart"/>
      <w:r w:rsidR="00C929A4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superf</w:t>
      </w:r>
      <w:proofErr w:type="spellEnd"/>
      <w:r w:rsidR="00C929A4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., </w:t>
      </w:r>
      <w:proofErr w:type="spellStart"/>
      <w:r w:rsidR="00C929A4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moy</w:t>
      </w:r>
      <w:proofErr w:type="spellEnd"/>
      <w:r w:rsidR="00C929A4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., profonde)</w:t>
      </w:r>
    </w:p>
    <w:p w14:paraId="7A9A4D3D" w14:textId="7C333541" w:rsidR="00591697" w:rsidRPr="00786A4E" w:rsidRDefault="00591697" w:rsidP="00BC4A59">
      <w:pPr>
        <w:numPr>
          <w:ilvl w:val="2"/>
          <w:numId w:val="7"/>
        </w:numPr>
        <w:spacing w:before="0" w:beforeAutospacing="1" w:after="0" w:afterAutospacing="1"/>
        <w:ind w:left="1560" w:right="-432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Approche de l’endométriose</w:t>
      </w:r>
    </w:p>
    <w:p w14:paraId="2F541EC8" w14:textId="7D7EF057" w:rsidR="00786A4E" w:rsidRPr="00FC0977" w:rsidRDefault="00C929A4" w:rsidP="00BC4A59">
      <w:pPr>
        <w:numPr>
          <w:ilvl w:val="2"/>
          <w:numId w:val="7"/>
        </w:numPr>
        <w:spacing w:before="0" w:beforeAutospacing="1" w:after="0" w:afterAutospacing="1" w:line="360" w:lineRule="auto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Abord de l’anorgasmie </w:t>
      </w:r>
    </w:p>
    <w:p w14:paraId="078AAAA7" w14:textId="59E699CC" w:rsidR="00334D3E" w:rsidRPr="00BC4A59" w:rsidRDefault="00FC0977" w:rsidP="00BC4A59">
      <w:pPr>
        <w:numPr>
          <w:ilvl w:val="1"/>
          <w:numId w:val="7"/>
        </w:numPr>
        <w:spacing w:before="0" w:beforeAutospacing="1" w:after="0" w:afterAutospacing="1" w:line="360" w:lineRule="auto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Traitement médicamenteux et chirurgicau</w:t>
      </w:r>
      <w:r w:rsidR="00BC4A59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x</w:t>
      </w:r>
    </w:p>
    <w:p w14:paraId="7828C788" w14:textId="77777777" w:rsidR="006115F1" w:rsidRPr="00FC0977" w:rsidRDefault="006115F1" w:rsidP="00BC4A59">
      <w:pPr>
        <w:numPr>
          <w:ilvl w:val="1"/>
          <w:numId w:val="7"/>
        </w:numPr>
        <w:spacing w:before="0" w:beforeAutospacing="1" w:after="0" w:afterAutospacing="1" w:line="360" w:lineRule="auto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Rééducation</w:t>
      </w:r>
      <w:r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4F7BADF5" w14:textId="77777777" w:rsidR="006115F1" w:rsidRPr="006115F1" w:rsidRDefault="008F1359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A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pproche générale du périnée</w:t>
      </w:r>
    </w:p>
    <w:p w14:paraId="56CD6C17" w14:textId="77777777" w:rsidR="006115F1" w:rsidRPr="00FC0977" w:rsidRDefault="008F1359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périnéales manuelles</w:t>
      </w:r>
    </w:p>
    <w:p w14:paraId="21B89143" w14:textId="77777777" w:rsidR="006115F1" w:rsidRPr="006115F1" w:rsidRDefault="008F1359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B</w:t>
      </w:r>
      <w:r w:rsidR="006115F1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iofee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dback</w:t>
      </w:r>
    </w:p>
    <w:p w14:paraId="40A98830" w14:textId="77777777" w:rsidR="006115F1" w:rsidRDefault="008F1359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d’insertion</w:t>
      </w:r>
    </w:p>
    <w:p w14:paraId="42DA72E7" w14:textId="77777777" w:rsidR="006115F1" w:rsidRPr="006115F1" w:rsidRDefault="008F1359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hé</w:t>
      </w:r>
      <w:r w:rsidR="006115F1" w:rsidRP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ra</w:t>
      </w:r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pie </w:t>
      </w:r>
      <w:proofErr w:type="spellStart"/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cognitivo</w:t>
      </w:r>
      <w:proofErr w:type="spellEnd"/>
      <w:r w:rsidR="006115F1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-comportementale</w:t>
      </w:r>
    </w:p>
    <w:p w14:paraId="5176DD1C" w14:textId="77777777" w:rsidR="008944A0" w:rsidRPr="008944A0" w:rsidRDefault="008F1359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6115F1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globales</w:t>
      </w:r>
    </w:p>
    <w:p w14:paraId="580D692A" w14:textId="28C8D8FA" w:rsidR="00FC0977" w:rsidRDefault="00194106" w:rsidP="00BC4A5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Trucs et astuces des sexologues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14:paraId="05154494" w14:textId="7925C0E1" w:rsidR="00893120" w:rsidRPr="00BC4A59" w:rsidRDefault="00893120" w:rsidP="00BC4A59">
      <w:pPr>
        <w:spacing w:before="0" w:beforeAutospacing="1" w:after="0" w:afterAutospacing="1" w:line="240" w:lineRule="auto"/>
        <w:ind w:left="360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</w:pPr>
      <w:proofErr w:type="spellStart"/>
      <w:r w:rsidRPr="00BC4A59"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  <w:t>Etude</w:t>
      </w:r>
      <w:proofErr w:type="spellEnd"/>
      <w:r w:rsidRPr="00BC4A59"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  <w:t xml:space="preserve"> de cas</w:t>
      </w:r>
    </w:p>
    <w:p w14:paraId="74221EBF" w14:textId="634950CB" w:rsidR="00F730DE" w:rsidRPr="00591697" w:rsidRDefault="00F730DE" w:rsidP="00BC4A59">
      <w:pPr>
        <w:spacing w:line="240" w:lineRule="auto"/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</w:pPr>
    </w:p>
    <w:p w14:paraId="2C49C7D2" w14:textId="2B9C42F3" w:rsidR="00FC0977" w:rsidRPr="00591697" w:rsidRDefault="00334D3E" w:rsidP="00334D3E">
      <w:pPr>
        <w:rPr>
          <w:rFonts w:ascii="Century Gothic" w:hAnsi="Century Gothic"/>
          <w:color w:val="000000" w:themeColor="text1"/>
          <w:sz w:val="28"/>
          <w:szCs w:val="28"/>
          <w:lang w:val="fr-BE"/>
        </w:rPr>
      </w:pP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lastRenderedPageBreak/>
        <w:sym w:font="Symbol" w:char="F044"/>
      </w:r>
      <w:r w:rsidRPr="00591697"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  <w:t xml:space="preserve"> </w:t>
      </w:r>
      <w:r w:rsidR="00BC4A59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1 jour</w:t>
      </w:r>
      <w:r w:rsidR="0005286B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, 9h00-17h30</w:t>
      </w:r>
    </w:p>
    <w:p w14:paraId="5F624316" w14:textId="30C4DEFE" w:rsidR="00334D3E" w:rsidRPr="00591697" w:rsidRDefault="00E05C7F" w:rsidP="00334D3E">
      <w:pPr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D1"/>
      </w:r>
      <w:r w:rsidRPr="00591697"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  <w:t xml:space="preserve"> </w:t>
      </w:r>
      <w:r w:rsid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Samedi 6 novembre</w:t>
      </w:r>
      <w:r w:rsidR="00BC4A59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 2021</w:t>
      </w:r>
    </w:p>
    <w:p w14:paraId="40F3786B" w14:textId="7B36363F" w:rsidR="00E05C7F" w:rsidRPr="00591697" w:rsidRDefault="00E05C7F" w:rsidP="00334D3E">
      <w:pPr>
        <w:rPr>
          <w:rFonts w:ascii="Century Gothic" w:hAnsi="Century Gothic"/>
          <w:color w:val="000000" w:themeColor="text1"/>
          <w:sz w:val="28"/>
          <w:szCs w:val="28"/>
          <w:lang w:val="fr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E5"/>
      </w:r>
      <w:r w:rsidRPr="00591697"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  <w:t xml:space="preserve"> </w:t>
      </w:r>
      <w:r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Alexandrine Close</w:t>
      </w:r>
      <w:r w:rsidR="00BC4A59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 </w:t>
      </w:r>
      <w:r w:rsidRPr="00591697">
        <w:rPr>
          <w:rFonts w:ascii="Century Gothic" w:hAnsi="Century Gothic"/>
          <w:b/>
          <w:color w:val="000000" w:themeColor="text1"/>
          <w:sz w:val="28"/>
          <w:szCs w:val="28"/>
          <w:lang w:val="fr-BE"/>
        </w:rPr>
        <w:t xml:space="preserve">– </w:t>
      </w:r>
      <w:r w:rsidR="00BC4A59"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>kinésithérapeute spécialisée</w:t>
      </w:r>
      <w:r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 xml:space="preserve"> </w:t>
      </w:r>
      <w:r w:rsidR="00194106"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>en pelvi-</w:t>
      </w:r>
      <w:proofErr w:type="spellStart"/>
      <w:r w:rsidR="00194106"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>périnéologie</w:t>
      </w:r>
      <w:proofErr w:type="spellEnd"/>
      <w:r w:rsidR="00194106"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 xml:space="preserve"> et </w:t>
      </w:r>
      <w:r w:rsidR="00BC4A59"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>diplômée</w:t>
      </w:r>
      <w:r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 xml:space="preserve"> en sexologie</w:t>
      </w:r>
    </w:p>
    <w:p w14:paraId="329BE246" w14:textId="64E1F0FC" w:rsidR="004138C0" w:rsidRPr="0029709F" w:rsidRDefault="00E05C7F" w:rsidP="00876FB4">
      <w:pPr>
        <w:spacing w:line="240" w:lineRule="auto"/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</w:pPr>
      <w:r w:rsidRPr="0029709F">
        <w:rPr>
          <w:rFonts w:ascii="Century Gothic" w:hAnsi="Century Gothic"/>
          <w:b/>
          <w:color w:val="2E74B5" w:themeColor="accent1" w:themeShade="BF"/>
          <w:sz w:val="44"/>
          <w:szCs w:val="44"/>
          <w:lang w:val="fr-BE"/>
        </w:rPr>
        <w:t xml:space="preserve">€ </w:t>
      </w:r>
      <w:r w:rsidR="004138C0" w:rsidRP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1</w:t>
      </w:r>
      <w:r w:rsidR="00591697" w:rsidRP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70</w:t>
      </w:r>
      <w:r w:rsidR="004138C0" w:rsidRP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€</w:t>
      </w:r>
      <w:r w:rsidR="00876FB4" w:rsidRP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 </w:t>
      </w:r>
      <w:r w:rsidR="00C542EC" w:rsidRP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la journée</w:t>
      </w:r>
      <w:r w:rsid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, en </w:t>
      </w:r>
      <w:proofErr w:type="spellStart"/>
      <w:r w:rsid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visio</w:t>
      </w:r>
      <w:proofErr w:type="spellEnd"/>
      <w:r w:rsidR="0029709F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 via la plateforme ZOOM</w:t>
      </w:r>
    </w:p>
    <w:p w14:paraId="2003253E" w14:textId="41B41A9A" w:rsidR="00E05C7F" w:rsidRPr="00591697" w:rsidRDefault="00876FB4" w:rsidP="004138C0">
      <w:pPr>
        <w:spacing w:line="240" w:lineRule="auto"/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</w:pPr>
      <w:r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>à verser sur le compte au nom de</w:t>
      </w:r>
      <w:r w:rsidRPr="00591697">
        <w:rPr>
          <w:rFonts w:ascii="Century Gothic" w:hAnsi="Century Gothic"/>
          <w:b/>
          <w:color w:val="000000" w:themeColor="text1"/>
          <w:sz w:val="28"/>
          <w:szCs w:val="28"/>
          <w:lang w:val="fr-BE"/>
        </w:rPr>
        <w:t xml:space="preserve"> </w:t>
      </w:r>
      <w:r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CLOSE A.</w:t>
      </w:r>
      <w:r w:rsidR="004138C0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  </w:t>
      </w:r>
      <w:r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BE13 7775 9737 0839 </w:t>
      </w:r>
      <w:r w:rsidRPr="00591697">
        <w:rPr>
          <w:rFonts w:ascii="Century Gothic" w:hAnsi="Century Gothic"/>
          <w:color w:val="000000" w:themeColor="text1"/>
          <w:sz w:val="28"/>
          <w:szCs w:val="28"/>
          <w:lang w:val="fr-BE"/>
        </w:rPr>
        <w:t xml:space="preserve">avec la communication </w:t>
      </w:r>
      <w:r w:rsidRPr="00591697"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  <w:t xml:space="preserve">Nom + formation kiné </w:t>
      </w:r>
      <w:proofErr w:type="spellStart"/>
      <w:r w:rsidRPr="00591697"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  <w:t>sexo</w:t>
      </w:r>
      <w:proofErr w:type="spellEnd"/>
      <w:r w:rsidR="00BC4A59" w:rsidRPr="00591697"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  <w:t xml:space="preserve"> femmes</w:t>
      </w:r>
    </w:p>
    <w:p w14:paraId="5C027720" w14:textId="3F40E561" w:rsidR="00F730DE" w:rsidRPr="00591697" w:rsidRDefault="007D4FE3" w:rsidP="00334D3E">
      <w:pPr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</w:pPr>
      <w:r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Formation accréditée</w:t>
      </w:r>
      <w:r w:rsidR="00194106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 xml:space="preserve"> </w:t>
      </w:r>
      <w:proofErr w:type="spellStart"/>
      <w:r w:rsidR="00194106" w:rsidRP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proQkiné</w:t>
      </w:r>
      <w:proofErr w:type="spellEnd"/>
      <w:r w:rsidR="00591697">
        <w:rPr>
          <w:rFonts w:ascii="Century Gothic" w:hAnsi="Century Gothic"/>
          <w:b/>
          <w:color w:val="2E74B5" w:themeColor="accent1" w:themeShade="BF"/>
          <w:sz w:val="28"/>
          <w:szCs w:val="28"/>
          <w:lang w:val="fr-BE"/>
        </w:rPr>
        <w:t> </w:t>
      </w:r>
      <w:r w:rsidR="00591697" w:rsidRPr="00591697">
        <w:rPr>
          <w:rFonts w:ascii="Century Gothic" w:hAnsi="Century Gothic"/>
          <w:b/>
          <w:color w:val="FF0000"/>
          <w:sz w:val="28"/>
          <w:szCs w:val="28"/>
          <w:lang w:val="fr-BE"/>
        </w:rPr>
        <w:t>!!!</w:t>
      </w:r>
      <w:r w:rsidR="00591697">
        <w:rPr>
          <w:rFonts w:ascii="Century Gothic" w:hAnsi="Century Gothic"/>
          <w:b/>
          <w:color w:val="FF0000"/>
          <w:sz w:val="28"/>
          <w:szCs w:val="28"/>
          <w:lang w:val="fr-BE"/>
        </w:rPr>
        <w:t xml:space="preserve"> cette formation ne sera plus accréditée </w:t>
      </w:r>
      <w:proofErr w:type="spellStart"/>
      <w:r w:rsidR="00591697">
        <w:rPr>
          <w:rFonts w:ascii="Century Gothic" w:hAnsi="Century Gothic"/>
          <w:b/>
          <w:color w:val="FF0000"/>
          <w:sz w:val="28"/>
          <w:szCs w:val="28"/>
          <w:lang w:val="fr-BE"/>
        </w:rPr>
        <w:t>proQkiné</w:t>
      </w:r>
      <w:proofErr w:type="spellEnd"/>
      <w:r w:rsidR="00591697">
        <w:rPr>
          <w:rFonts w:ascii="Century Gothic" w:hAnsi="Century Gothic"/>
          <w:b/>
          <w:color w:val="FF0000"/>
          <w:sz w:val="28"/>
          <w:szCs w:val="28"/>
          <w:lang w:val="fr-BE"/>
        </w:rPr>
        <w:t xml:space="preserve"> à partir de 2022 car ils ont corsé les </w:t>
      </w:r>
      <w:r w:rsidR="009E0CAD">
        <w:rPr>
          <w:rFonts w:ascii="Century Gothic" w:hAnsi="Century Gothic"/>
          <w:b/>
          <w:color w:val="FF0000"/>
          <w:sz w:val="28"/>
          <w:szCs w:val="28"/>
          <w:lang w:val="fr-BE"/>
        </w:rPr>
        <w:t>demande</w:t>
      </w:r>
      <w:r w:rsidR="00591697">
        <w:rPr>
          <w:rFonts w:ascii="Century Gothic" w:hAnsi="Century Gothic"/>
          <w:b/>
          <w:color w:val="FF0000"/>
          <w:sz w:val="28"/>
          <w:szCs w:val="28"/>
          <w:lang w:val="fr-BE"/>
        </w:rPr>
        <w:t>s !!!</w:t>
      </w:r>
    </w:p>
    <w:p w14:paraId="0ABA2CAE" w14:textId="7D0D516A" w:rsidR="00F730DE" w:rsidRPr="00591697" w:rsidRDefault="00F730DE" w:rsidP="00334D3E">
      <w:pPr>
        <w:rPr>
          <w:rFonts w:ascii="Century Gothic" w:hAnsi="Century Gothic"/>
          <w:color w:val="2E74B5" w:themeColor="accent1" w:themeShade="BF"/>
          <w:sz w:val="28"/>
          <w:szCs w:val="28"/>
          <w:u w:val="single"/>
          <w:lang w:val="fr-BE"/>
        </w:rPr>
      </w:pPr>
      <w:r w:rsidRPr="00591697">
        <w:rPr>
          <w:rFonts w:ascii="Century Gothic" w:hAnsi="Century Gothic"/>
          <w:color w:val="2E74B5" w:themeColor="accent1" w:themeShade="BF"/>
          <w:sz w:val="28"/>
          <w:szCs w:val="28"/>
          <w:u w:val="single"/>
          <w:lang w:val="fr-BE"/>
        </w:rPr>
        <w:t xml:space="preserve">Modalités d’inscription : </w:t>
      </w:r>
    </w:p>
    <w:p w14:paraId="6C08D646" w14:textId="2F1085F6" w:rsidR="00F730DE" w:rsidRPr="00591697" w:rsidRDefault="00F730DE" w:rsidP="00F730DE">
      <w:pPr>
        <w:ind w:firstLine="708"/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</w:pPr>
      <w:r w:rsidRPr="00591697"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  <w:t xml:space="preserve">- belges: </w:t>
      </w:r>
      <w:hyperlink r:id="rId5" w:history="1">
        <w:r w:rsidRPr="00591697">
          <w:rPr>
            <w:rStyle w:val="Lienhypertexte"/>
            <w:rFonts w:ascii="Century Gothic" w:hAnsi="Century Gothic"/>
            <w:color w:val="034990" w:themeColor="hyperlink" w:themeShade="BF"/>
            <w:sz w:val="28"/>
            <w:szCs w:val="28"/>
            <w:lang w:val="fr-BE"/>
          </w:rPr>
          <w:t>www.proQkiné.be</w:t>
        </w:r>
      </w:hyperlink>
    </w:p>
    <w:p w14:paraId="7A6D334D" w14:textId="386581FB" w:rsidR="00F730DE" w:rsidRPr="00591697" w:rsidRDefault="00F730DE" w:rsidP="00893120">
      <w:pPr>
        <w:ind w:firstLine="708"/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</w:pPr>
      <w:r w:rsidRPr="00591697"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  <w:t xml:space="preserve">- français: par mail </w:t>
      </w:r>
      <w:hyperlink r:id="rId6" w:history="1">
        <w:r w:rsidRPr="00591697">
          <w:rPr>
            <w:rStyle w:val="Lienhypertexte"/>
            <w:rFonts w:ascii="Century Gothic" w:hAnsi="Century Gothic"/>
            <w:color w:val="034990" w:themeColor="hyperlink" w:themeShade="BF"/>
            <w:sz w:val="28"/>
            <w:szCs w:val="28"/>
            <w:lang w:val="fr-BE"/>
          </w:rPr>
          <w:t>sissouclose@hotmail.com</w:t>
        </w:r>
      </w:hyperlink>
      <w:r w:rsidRPr="00591697">
        <w:rPr>
          <w:rFonts w:ascii="Century Gothic" w:hAnsi="Century Gothic"/>
          <w:color w:val="2E74B5" w:themeColor="accent1" w:themeShade="BF"/>
          <w:sz w:val="28"/>
          <w:szCs w:val="28"/>
          <w:lang w:val="fr-BE"/>
        </w:rPr>
        <w:t xml:space="preserve"> </w:t>
      </w:r>
    </w:p>
    <w:sectPr w:rsidR="00F730DE" w:rsidRPr="00591697" w:rsidSect="00786A4E">
      <w:pgSz w:w="11900" w:h="16840"/>
      <w:pgMar w:top="108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7E8C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946099"/>
    <w:multiLevelType w:val="hybridMultilevel"/>
    <w:tmpl w:val="0FEC56BE"/>
    <w:lvl w:ilvl="0" w:tplc="4DCAA4BA">
      <w:start w:val="199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00B"/>
    <w:multiLevelType w:val="hybridMultilevel"/>
    <w:tmpl w:val="4B18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8A0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127724"/>
    <w:multiLevelType w:val="hybridMultilevel"/>
    <w:tmpl w:val="B3FAF808"/>
    <w:lvl w:ilvl="0" w:tplc="6D9EE24A">
      <w:start w:val="199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0EB0"/>
    <w:multiLevelType w:val="hybridMultilevel"/>
    <w:tmpl w:val="559009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426E4"/>
    <w:multiLevelType w:val="hybridMultilevel"/>
    <w:tmpl w:val="754EB25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9589D"/>
    <w:multiLevelType w:val="multilevel"/>
    <w:tmpl w:val="B08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019"/>
      <w:numFmt w:val="bullet"/>
      <w:lvlText w:val="-"/>
      <w:lvlJc w:val="left"/>
      <w:pPr>
        <w:ind w:left="2880" w:hanging="360"/>
      </w:pPr>
      <w:rPr>
        <w:rFonts w:ascii="Century Gothic" w:eastAsiaTheme="minorEastAsia" w:hAnsi="Century Gothic" w:cstheme="minorBid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9326A"/>
    <w:multiLevelType w:val="hybridMultilevel"/>
    <w:tmpl w:val="7FAA448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70E8D"/>
    <w:multiLevelType w:val="hybridMultilevel"/>
    <w:tmpl w:val="E51AC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6572D"/>
    <w:multiLevelType w:val="hybridMultilevel"/>
    <w:tmpl w:val="3010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678B"/>
    <w:multiLevelType w:val="hybridMultilevel"/>
    <w:tmpl w:val="1FEE36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90394"/>
    <w:multiLevelType w:val="hybridMultilevel"/>
    <w:tmpl w:val="EC90E4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77"/>
    <w:rsid w:val="0005286B"/>
    <w:rsid w:val="000E662B"/>
    <w:rsid w:val="00127D49"/>
    <w:rsid w:val="00141C8E"/>
    <w:rsid w:val="00194106"/>
    <w:rsid w:val="001C6FA1"/>
    <w:rsid w:val="001D5D3E"/>
    <w:rsid w:val="0029709F"/>
    <w:rsid w:val="002C12A7"/>
    <w:rsid w:val="00334D3E"/>
    <w:rsid w:val="00353ED7"/>
    <w:rsid w:val="003923F7"/>
    <w:rsid w:val="004138C0"/>
    <w:rsid w:val="00591697"/>
    <w:rsid w:val="005B7727"/>
    <w:rsid w:val="00600F79"/>
    <w:rsid w:val="006115F1"/>
    <w:rsid w:val="00704780"/>
    <w:rsid w:val="0070497D"/>
    <w:rsid w:val="00762616"/>
    <w:rsid w:val="00780325"/>
    <w:rsid w:val="00786A4E"/>
    <w:rsid w:val="007D4FE3"/>
    <w:rsid w:val="007F122B"/>
    <w:rsid w:val="00876FB4"/>
    <w:rsid w:val="00893120"/>
    <w:rsid w:val="008944A0"/>
    <w:rsid w:val="008F1359"/>
    <w:rsid w:val="009E0CAD"/>
    <w:rsid w:val="009E1BBE"/>
    <w:rsid w:val="00BC4A59"/>
    <w:rsid w:val="00C111D7"/>
    <w:rsid w:val="00C542EC"/>
    <w:rsid w:val="00C929A4"/>
    <w:rsid w:val="00CE163B"/>
    <w:rsid w:val="00CF099C"/>
    <w:rsid w:val="00D559E4"/>
    <w:rsid w:val="00D60195"/>
    <w:rsid w:val="00D64FFB"/>
    <w:rsid w:val="00D8170D"/>
    <w:rsid w:val="00E05C7F"/>
    <w:rsid w:val="00E07474"/>
    <w:rsid w:val="00E2297D"/>
    <w:rsid w:val="00F0217D"/>
    <w:rsid w:val="00F730DE"/>
    <w:rsid w:val="00FA3C37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35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E163B"/>
    <w:pPr>
      <w:spacing w:before="320" w:after="320" w:line="276" w:lineRule="auto"/>
    </w:pPr>
    <w:rPr>
      <w:rFonts w:ascii="Times New Roman" w:eastAsiaTheme="minorEastAsia" w:hAnsi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E163B"/>
    <w:pPr>
      <w:numPr>
        <w:numId w:val="1"/>
      </w:numPr>
    </w:pPr>
  </w:style>
  <w:style w:type="numbering" w:customStyle="1" w:styleId="Style2">
    <w:name w:val="Style2"/>
    <w:uiPriority w:val="99"/>
    <w:rsid w:val="00CE163B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FC0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souclose@hotmail.com" TargetMode="External"/><Relationship Id="rId5" Type="http://schemas.openxmlformats.org/officeDocument/2006/relationships/hyperlink" Target="http://www.proQkin&#233;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Alexandrine Close</dc:creator>
  <cp:keywords/>
  <dc:description/>
  <cp:lastModifiedBy>Alexandrine Close</cp:lastModifiedBy>
  <cp:revision>5</cp:revision>
  <dcterms:created xsi:type="dcterms:W3CDTF">2021-09-18T07:42:00Z</dcterms:created>
  <dcterms:modified xsi:type="dcterms:W3CDTF">2021-09-18T07:47:00Z</dcterms:modified>
</cp:coreProperties>
</file>